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center"/>
        <w:rPr>
          <w:rFonts w:ascii="Avenir" w:cs="Avenir" w:eastAsia="Avenir" w:hAnsi="Avenir"/>
          <w:b w:val="1"/>
          <w:sz w:val="44"/>
          <w:szCs w:val="44"/>
        </w:rPr>
      </w:pPr>
      <w:r w:rsidDel="00000000" w:rsidR="00000000" w:rsidRPr="00000000">
        <w:rPr>
          <w:rFonts w:ascii="Avenir" w:cs="Avenir" w:eastAsia="Avenir" w:hAnsi="Avenir"/>
          <w:b w:val="1"/>
          <w:sz w:val="44"/>
          <w:szCs w:val="44"/>
          <w:rtl w:val="0"/>
        </w:rPr>
        <w:t xml:space="preserve">BOILERPLATE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center"/>
        <w:rPr>
          <w:rFonts w:ascii="Avenir" w:cs="Avenir" w:eastAsia="Avenir" w:hAnsi="Avenir"/>
          <w:b w:val="1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FOR PARTNERS AND 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Avenir" w:cs="Avenir" w:eastAsia="Avenir" w:hAnsi="Avenir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Avenir" w:cs="Avenir" w:eastAsia="Avenir" w:hAnsi="Avenir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b w:val="1"/>
          <w:sz w:val="24"/>
          <w:szCs w:val="24"/>
          <w:rtl w:val="0"/>
        </w:rPr>
        <w:t xml:space="preserve">About StartOut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color w:val="444444"/>
          <w:sz w:val="24"/>
          <w:szCs w:val="24"/>
          <w:rtl w:val="0"/>
        </w:rPr>
        <w:t xml:space="preserve">Founded in 2009, StartOut, a national 501(c)(3) non-profit organization, is the largest national organization to support LGBTQ+ entrepreneurs with over 28K community members nationwide.</w:t>
      </w:r>
      <w:r w:rsidDel="00000000" w:rsidR="00000000" w:rsidRPr="00000000">
        <w:rPr>
          <w:rFonts w:ascii="Avenir" w:cs="Avenir" w:eastAsia="Avenir" w:hAnsi="Avenir"/>
          <w:color w:val="444444"/>
          <w:sz w:val="24"/>
          <w:szCs w:val="24"/>
          <w:rtl w:val="0"/>
        </w:rPr>
        <w:t xml:space="preserve"> Its mission is 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accelerate the growth of the LGBTQ+ community to drive its economic empowerment, building a world where every LGBTQ+ entrepreneur has equal access to lead, succeed, and shape the workforce of the future</w:t>
      </w: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venir" w:cs="Avenir" w:eastAsia="Avenir" w:hAnsi="Avenir"/>
          <w:color w:val="444444"/>
          <w:sz w:val="24"/>
          <w:szCs w:val="24"/>
          <w:rtl w:val="0"/>
        </w:rPr>
        <w:t xml:space="preserve"> StartOut helps aspiring LGBTQ+ entrepreneurs start new companies; supports current entrepreneurs as they grow and expand their existing businesses; and engages successful entrepreneurs as role models and mentors, on its online portal and through targeted events nationwide. For more information, please visit </w:t>
      </w:r>
      <w:hyperlink r:id="rId6">
        <w:r w:rsidDel="00000000" w:rsidR="00000000" w:rsidRPr="00000000">
          <w:rPr>
            <w:rFonts w:ascii="Avenir" w:cs="Avenir" w:eastAsia="Avenir" w:hAnsi="Avenir"/>
            <w:color w:val="1155cc"/>
            <w:sz w:val="24"/>
            <w:szCs w:val="24"/>
            <w:rtl w:val="0"/>
          </w:rPr>
          <w:t xml:space="preserve">www.startout.org</w:t>
        </w:r>
      </w:hyperlink>
      <w:r w:rsidDel="00000000" w:rsidR="00000000" w:rsidRPr="00000000">
        <w:rPr>
          <w:rFonts w:ascii="Avenir" w:cs="Avenir" w:eastAsia="Avenir" w:hAnsi="Avenir"/>
          <w:color w:val="444444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pageBreakBefore w:val="0"/>
      <w:tabs>
        <w:tab w:val="center" w:leader="none" w:pos="4680"/>
        <w:tab w:val="right" w:leader="none" w:pos="9360"/>
      </w:tabs>
      <w:spacing w:line="240" w:lineRule="auto"/>
      <w:jc w:val="center"/>
      <w:rPr>
        <w:rFonts w:ascii="Avenir" w:cs="Avenir" w:eastAsia="Avenir" w:hAnsi="Avenir"/>
        <w:sz w:val="20"/>
        <w:szCs w:val="20"/>
      </w:rPr>
    </w:pPr>
    <w:r w:rsidDel="00000000" w:rsidR="00000000" w:rsidRPr="00000000">
      <w:rPr>
        <w:rFonts w:ascii="Avenir" w:cs="Avenir" w:eastAsia="Avenir" w:hAnsi="Avenir"/>
        <w:rtl w:val="0"/>
      </w:rPr>
      <w:t xml:space="preserve">Questions? Contact us at </w:t>
    </w:r>
    <w:hyperlink r:id="rId1">
      <w:r w:rsidDel="00000000" w:rsidR="00000000" w:rsidRPr="00000000">
        <w:rPr>
          <w:rFonts w:ascii="Avenir" w:cs="Avenir" w:eastAsia="Avenir" w:hAnsi="Avenir"/>
          <w:color w:val="0563c1"/>
          <w:u w:val="single"/>
          <w:rtl w:val="0"/>
        </w:rPr>
        <w:t xml:space="preserve">info@startout.org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pageBreakBefore w:val="0"/>
      <w:jc w:val="center"/>
      <w:rPr/>
    </w:pPr>
    <w:r w:rsidDel="00000000" w:rsidR="00000000" w:rsidRPr="00000000">
      <w:rPr/>
      <w:drawing>
        <wp:inline distB="114300" distT="114300" distL="114300" distR="114300">
          <wp:extent cx="1928813" cy="47293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28813" cy="4729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startout.org/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info@startout.org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